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BD566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 w:rsidRPr="0079232C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Datenschutzkonzept</w:t>
      </w:r>
    </w:p>
    <w:p w14:paraId="18164C1D" w14:textId="6966D291" w:rsidR="00441485" w:rsidRPr="0079232C" w:rsidRDefault="00697224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9232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</w:t>
      </w:r>
      <w:r w:rsidR="00441485" w:rsidRPr="0079232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er </w:t>
      </w:r>
      <w:r w:rsidR="0079232C" w:rsidRPr="0079232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MAV in XXXXXXXX</w:t>
      </w:r>
    </w:p>
    <w:p w14:paraId="2A72AA26" w14:textId="77777777" w:rsidR="00441485" w:rsidRDefault="00441485" w:rsidP="0044148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14:paraId="0BF65015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Mit dem Datenschutz werden die Würde und die Persönlichkeit eines Menschen sowie die personenbezogenen Daten des einzelnen Menschen geschützt.</w:t>
      </w:r>
    </w:p>
    <w:p w14:paraId="036AF06A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Grundlage des Datenschutzes ist somit das sogenannte Recht auf informationelle Selbstbestimmung, wonach jeder Mensch das Recht hat, selbst über die Preisgabe und Verwendung seiner ihn betreffenden personenbezogenen Daten zu bestimmen.</w:t>
      </w:r>
    </w:p>
    <w:p w14:paraId="3895C5DF" w14:textId="77777777" w:rsidR="00006BFD" w:rsidRPr="0079232C" w:rsidRDefault="00006BFD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bookmarkStart w:id="0" w:name="_GoBack"/>
      <w:bookmarkEnd w:id="0"/>
    </w:p>
    <w:p w14:paraId="64D4D669" w14:textId="264CE139" w:rsidR="00441485" w:rsidRPr="0079232C" w:rsidRDefault="0079232C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 xml:space="preserve">In der MAV der </w:t>
      </w:r>
      <w:r w:rsidRPr="0079232C">
        <w:rPr>
          <w:rFonts w:asciiTheme="minorHAnsi" w:hAnsiTheme="minorHAnsi" w:cstheme="minorHAnsi"/>
          <w:i/>
          <w:iCs/>
          <w:color w:val="000000"/>
          <w:szCs w:val="24"/>
        </w:rPr>
        <w:t>(Dienststelle)</w:t>
      </w:r>
      <w:r w:rsidR="00441485" w:rsidRPr="0079232C">
        <w:rPr>
          <w:rFonts w:asciiTheme="minorHAnsi" w:hAnsiTheme="minorHAnsi" w:cstheme="minorHAnsi"/>
          <w:color w:val="000000"/>
          <w:szCs w:val="24"/>
        </w:rPr>
        <w:t xml:space="preserve"> wird </w:t>
      </w:r>
      <w:proofErr w:type="gramStart"/>
      <w:r w:rsidR="00441485" w:rsidRPr="0079232C">
        <w:rPr>
          <w:rFonts w:asciiTheme="minorHAnsi" w:hAnsiTheme="minorHAnsi" w:cstheme="minorHAnsi"/>
          <w:color w:val="000000"/>
          <w:szCs w:val="24"/>
        </w:rPr>
        <w:t>nach folgendem</w:t>
      </w:r>
      <w:proofErr w:type="gramEnd"/>
      <w:r w:rsidR="00441485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="00441485" w:rsidRPr="0079232C">
        <w:rPr>
          <w:rFonts w:asciiTheme="minorHAnsi" w:hAnsiTheme="minorHAnsi" w:cstheme="minorHAnsi"/>
          <w:b/>
          <w:bCs/>
          <w:color w:val="000000"/>
          <w:szCs w:val="24"/>
        </w:rPr>
        <w:t xml:space="preserve">Datenschutzkonzept </w:t>
      </w:r>
      <w:r w:rsidR="00441485" w:rsidRPr="0079232C">
        <w:rPr>
          <w:rFonts w:asciiTheme="minorHAnsi" w:hAnsiTheme="minorHAnsi" w:cstheme="minorHAnsi"/>
          <w:color w:val="000000"/>
          <w:szCs w:val="24"/>
        </w:rPr>
        <w:t>verfahren:</w:t>
      </w:r>
    </w:p>
    <w:p w14:paraId="54326CEF" w14:textId="77777777" w:rsidR="003D1A4E" w:rsidRPr="0079232C" w:rsidRDefault="003D1A4E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2D89F128" w14:textId="77777777" w:rsidR="00EE20B5" w:rsidRPr="0079232C" w:rsidRDefault="00EE20B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1FF54754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Zuständig- und Verantwortlichkeiten</w:t>
      </w:r>
    </w:p>
    <w:p w14:paraId="1FBE130C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Die Verantwortung für die Sicherheit und Ordnungsmäßigkeit der Datenverarbeitung trägt die MAV als Gremium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>Für die Einhaltung der jeweils anzuwendenden Vor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softHyphen/>
      </w:r>
      <w:r w:rsidRPr="0079232C">
        <w:rPr>
          <w:rFonts w:asciiTheme="minorHAnsi" w:hAnsiTheme="minorHAnsi" w:cstheme="minorHAnsi"/>
          <w:color w:val="000000"/>
          <w:szCs w:val="24"/>
        </w:rPr>
        <w:t>schriften zum Datenschutz und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>zur Datensicherheit sind alle Mitglieder ver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softHyphen/>
      </w:r>
      <w:r w:rsidRPr="0079232C">
        <w:rPr>
          <w:rFonts w:asciiTheme="minorHAnsi" w:hAnsiTheme="minorHAnsi" w:cstheme="minorHAnsi"/>
          <w:color w:val="000000"/>
          <w:szCs w:val="24"/>
        </w:rPr>
        <w:t>ant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softHyphen/>
      </w:r>
      <w:r w:rsidRPr="0079232C">
        <w:rPr>
          <w:rFonts w:asciiTheme="minorHAnsi" w:hAnsiTheme="minorHAnsi" w:cstheme="minorHAnsi"/>
          <w:color w:val="000000"/>
          <w:szCs w:val="24"/>
        </w:rPr>
        <w:t>wortlich.</w:t>
      </w:r>
    </w:p>
    <w:p w14:paraId="59ED694E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03EDCD26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Überwachung</w:t>
      </w:r>
    </w:p>
    <w:p w14:paraId="54E3EF4A" w14:textId="77777777" w:rsidR="008D34C4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 xml:space="preserve">Die Überwachung und Prüfung der im Datenschutzkonzept festgelegten Sicherheitsmaßnahmen 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t>erfolgt durch das Gremium in regelmäßigen Abständen</w:t>
      </w:r>
      <w:r w:rsidRPr="0079232C">
        <w:rPr>
          <w:rFonts w:asciiTheme="minorHAnsi" w:hAnsiTheme="minorHAnsi" w:cstheme="minorHAnsi"/>
          <w:color w:val="000000"/>
          <w:szCs w:val="24"/>
        </w:rPr>
        <w:t>.</w:t>
      </w:r>
    </w:p>
    <w:p w14:paraId="475FC479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0012096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Fortschreibung</w:t>
      </w:r>
    </w:p>
    <w:p w14:paraId="064BF10A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Das Datenschutzkonzept ist in regelmäßigen Abständen fortzuschreiben.</w:t>
      </w:r>
    </w:p>
    <w:p w14:paraId="2A6AB83E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Dabei ist zu prüfen, ob sich die Datensicherheitsmaßnahmen bewährt haben.</w:t>
      </w:r>
    </w:p>
    <w:p w14:paraId="5B2AF16C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197CA057" w14:textId="77777777" w:rsidR="00441485" w:rsidRPr="0079232C" w:rsidRDefault="0051544E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Unterrichtung der Mitglieder</w:t>
      </w:r>
    </w:p>
    <w:p w14:paraId="5D1FF6DB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 xml:space="preserve">Die </w:t>
      </w:r>
      <w:r w:rsidR="00F44E7C" w:rsidRPr="0079232C">
        <w:rPr>
          <w:rFonts w:asciiTheme="minorHAnsi" w:hAnsiTheme="minorHAnsi" w:cstheme="minorHAnsi"/>
          <w:color w:val="000000"/>
          <w:szCs w:val="24"/>
        </w:rPr>
        <w:t>Mitglieder der MAV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 sind über die bei ihrer Tätigkeit anzuwendenden</w:t>
      </w:r>
      <w:r w:rsidR="00F44E7C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datenschutzrechtlichen Vorschriften zu 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t>unterrichten. Das Datenschutzkonzept ist ihnen auszuhändigen</w:t>
      </w:r>
      <w:r w:rsidRPr="0079232C">
        <w:rPr>
          <w:rFonts w:asciiTheme="minorHAnsi" w:hAnsiTheme="minorHAnsi" w:cstheme="minorHAnsi"/>
          <w:color w:val="000000"/>
          <w:szCs w:val="24"/>
        </w:rPr>
        <w:t>.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="00F44E7C" w:rsidRPr="0079232C">
        <w:rPr>
          <w:rFonts w:asciiTheme="minorHAnsi" w:hAnsiTheme="minorHAnsi" w:cstheme="minorHAnsi"/>
          <w:color w:val="000000"/>
          <w:szCs w:val="24"/>
        </w:rPr>
        <w:t>D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t>er</w:t>
      </w:r>
      <w:r w:rsidR="00F44E7C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t>Empfang</w:t>
      </w:r>
      <w:r w:rsidR="00F44E7C" w:rsidRPr="0079232C">
        <w:rPr>
          <w:rFonts w:asciiTheme="minorHAnsi" w:hAnsiTheme="minorHAnsi" w:cstheme="minorHAnsi"/>
          <w:color w:val="000000"/>
          <w:szCs w:val="24"/>
        </w:rPr>
        <w:t xml:space="preserve"> ist vom Mitglied per Unterschrift zu bestätigen</w:t>
      </w:r>
      <w:r w:rsidRPr="0079232C">
        <w:rPr>
          <w:rFonts w:asciiTheme="minorHAnsi" w:hAnsiTheme="minorHAnsi" w:cstheme="minorHAnsi"/>
          <w:color w:val="000000"/>
          <w:szCs w:val="24"/>
        </w:rPr>
        <w:t>.</w:t>
      </w:r>
    </w:p>
    <w:p w14:paraId="2E4E13D0" w14:textId="77777777" w:rsidR="00F44E7C" w:rsidRPr="0079232C" w:rsidRDefault="00F44E7C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045AEDC1" w14:textId="546BEAD0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Aktenführung und Aktenaufbewahrung</w:t>
      </w:r>
      <w:r w:rsidR="0079232C" w:rsidRPr="0079232C">
        <w:rPr>
          <w:rFonts w:asciiTheme="minorHAnsi" w:hAnsiTheme="minorHAnsi" w:cstheme="minorHAnsi"/>
          <w:b/>
          <w:bCs/>
          <w:color w:val="000000"/>
          <w:szCs w:val="24"/>
        </w:rPr>
        <w:t>/</w:t>
      </w:r>
      <w:r w:rsidR="0020710E" w:rsidRPr="0079232C">
        <w:rPr>
          <w:rFonts w:asciiTheme="minorHAnsi" w:hAnsiTheme="minorHAnsi" w:cstheme="minorHAnsi"/>
          <w:b/>
          <w:bCs/>
          <w:color w:val="000000"/>
          <w:szCs w:val="24"/>
        </w:rPr>
        <w:t>-vernichtung</w:t>
      </w:r>
    </w:p>
    <w:p w14:paraId="2F5FBAC3" w14:textId="77777777" w:rsidR="0020710E" w:rsidRPr="0079232C" w:rsidRDefault="00F44E7C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Pro Mitarbeiter wird eine Akte geführt.</w:t>
      </w:r>
      <w:r w:rsidR="0057237C" w:rsidRPr="0079232C">
        <w:rPr>
          <w:rFonts w:asciiTheme="minorHAnsi" w:hAnsiTheme="minorHAnsi" w:cstheme="minorHAnsi"/>
          <w:color w:val="000000"/>
          <w:szCs w:val="24"/>
        </w:rPr>
        <w:t xml:space="preserve"> P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ersonenbezogene Daten werden </w:t>
      </w:r>
      <w:r w:rsidR="001A3A8C" w:rsidRPr="0079232C">
        <w:rPr>
          <w:rFonts w:asciiTheme="minorHAnsi" w:hAnsiTheme="minorHAnsi" w:cstheme="minorHAnsi"/>
          <w:color w:val="000000"/>
          <w:szCs w:val="24"/>
        </w:rPr>
        <w:t xml:space="preserve">grundsätzlich </w:t>
      </w:r>
      <w:r w:rsidRPr="0079232C">
        <w:rPr>
          <w:rFonts w:asciiTheme="minorHAnsi" w:hAnsiTheme="minorHAnsi" w:cstheme="minorHAnsi"/>
          <w:color w:val="000000"/>
          <w:szCs w:val="24"/>
        </w:rPr>
        <w:t>in dieser Akte abgelegt</w:t>
      </w:r>
      <w:r w:rsidR="0020710E" w:rsidRPr="0079232C">
        <w:rPr>
          <w:rFonts w:asciiTheme="minorHAnsi" w:hAnsiTheme="minorHAnsi" w:cstheme="minorHAnsi"/>
          <w:color w:val="000000"/>
          <w:szCs w:val="24"/>
        </w:rPr>
        <w:t>, sofern sie aufbewahrt werden dürfen</w:t>
      </w:r>
      <w:r w:rsidR="0057237C" w:rsidRPr="0079232C">
        <w:rPr>
          <w:rFonts w:asciiTheme="minorHAnsi" w:hAnsiTheme="minorHAnsi" w:cstheme="minorHAnsi"/>
          <w:color w:val="000000"/>
          <w:szCs w:val="24"/>
        </w:rPr>
        <w:t>.</w:t>
      </w:r>
    </w:p>
    <w:p w14:paraId="068CA6C8" w14:textId="77777777" w:rsidR="0003154D" w:rsidRPr="0079232C" w:rsidRDefault="00441485" w:rsidP="0003154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 xml:space="preserve">Akten, in denen </w:t>
      </w:r>
      <w:r w:rsidR="00F44E7C" w:rsidRPr="0079232C">
        <w:rPr>
          <w:rFonts w:asciiTheme="minorHAnsi" w:hAnsiTheme="minorHAnsi" w:cstheme="minorHAnsi"/>
          <w:color w:val="000000"/>
          <w:szCs w:val="24"/>
        </w:rPr>
        <w:t xml:space="preserve">sich 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personenbezogene Daten </w:t>
      </w:r>
      <w:r w:rsidR="00F44E7C" w:rsidRPr="0079232C">
        <w:rPr>
          <w:rFonts w:asciiTheme="minorHAnsi" w:hAnsiTheme="minorHAnsi" w:cstheme="minorHAnsi"/>
          <w:color w:val="000000"/>
          <w:szCs w:val="24"/>
        </w:rPr>
        <w:t>befinden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, sind </w:t>
      </w:r>
      <w:r w:rsidR="0020710E" w:rsidRPr="0079232C">
        <w:rPr>
          <w:rFonts w:asciiTheme="minorHAnsi" w:hAnsiTheme="minorHAnsi" w:cstheme="minorHAnsi"/>
          <w:color w:val="000000"/>
          <w:szCs w:val="24"/>
        </w:rPr>
        <w:t>grundsätzlich in verschlossenen Schränken aufzubewahren, so</w:t>
      </w:r>
      <w:r w:rsidR="0057237C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>dass eine Einsichtnahme durch unbefug</w:t>
      </w:r>
      <w:r w:rsidR="0020710E" w:rsidRPr="0079232C">
        <w:rPr>
          <w:rFonts w:asciiTheme="minorHAnsi" w:hAnsiTheme="minorHAnsi" w:cstheme="minorHAnsi"/>
          <w:color w:val="000000"/>
          <w:szCs w:val="24"/>
        </w:rPr>
        <w:t>te Dritte nicht möglich ist.</w:t>
      </w:r>
      <w:r w:rsidR="0003154D" w:rsidRPr="0079232C">
        <w:rPr>
          <w:rFonts w:asciiTheme="minorHAnsi" w:hAnsiTheme="minorHAnsi" w:cstheme="minorHAnsi"/>
          <w:color w:val="000000"/>
          <w:szCs w:val="24"/>
        </w:rPr>
        <w:t xml:space="preserve"> Dies gilt auch für Vorgänge, die in der laufenden Bearbeitung sind (Clear-Desk-Anweisung).</w:t>
      </w:r>
    </w:p>
    <w:p w14:paraId="5CE6F543" w14:textId="77777777" w:rsidR="00006BFD" w:rsidRPr="0079232C" w:rsidRDefault="00006BFD" w:rsidP="0003154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235BE46F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Akten bzw. personenbezogene Daten sind grundsätzlich zu vernichten, wenn sie für die Aufgabenerledigung nicht mehr erforderlich sind und Aufbewahrungsfristen nicht entgegenstehen.</w:t>
      </w:r>
    </w:p>
    <w:p w14:paraId="175728AE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05C05117" w14:textId="77777777" w:rsidR="0020710E" w:rsidRPr="0079232C" w:rsidRDefault="0020710E" w:rsidP="0020710E">
      <w:pPr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Folgende personenbezogene Unterlagen sollen in den Akten aufbewahrt werden:</w:t>
      </w:r>
    </w:p>
    <w:p w14:paraId="3DF38379" w14:textId="77777777" w:rsidR="0020710E" w:rsidRPr="0079232C" w:rsidRDefault="0020710E" w:rsidP="0020710E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Zustimmungsvorlagen (Einstellungen, Höhergruppierungen, etc.)</w:t>
      </w:r>
    </w:p>
    <w:p w14:paraId="42078190" w14:textId="77777777" w:rsidR="0020710E" w:rsidRPr="0079232C" w:rsidRDefault="0020710E" w:rsidP="0020710E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Vorlagen zur Kenntnis (Umsetzungen, Kostenstellenänderungen, etc.)</w:t>
      </w:r>
    </w:p>
    <w:p w14:paraId="35024B87" w14:textId="77777777" w:rsidR="0020710E" w:rsidRPr="0079232C" w:rsidRDefault="0020710E" w:rsidP="0020710E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lastRenderedPageBreak/>
        <w:t>Kenntnisnahmen (Kopie von Mitarbeitern an MAV, z.B. Wünsche auf AZ-Erhöhung, Überlastungsanzeigen)</w:t>
      </w:r>
    </w:p>
    <w:p w14:paraId="34184832" w14:textId="77777777" w:rsidR="0020710E" w:rsidRPr="0079232C" w:rsidRDefault="0020710E" w:rsidP="0020710E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Beratungsprotokolle, wenn vom Mitarbeiter per Unterschrift bestätigt wurde, dass der Vorgang aufbewahrt werden darf.</w:t>
      </w:r>
    </w:p>
    <w:p w14:paraId="22966AF3" w14:textId="77777777" w:rsidR="0020710E" w:rsidRPr="0079232C" w:rsidRDefault="0020710E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7F91BC5F" w14:textId="77777777" w:rsidR="0003154D" w:rsidRPr="0079232C" w:rsidRDefault="0003154D" w:rsidP="0003154D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Folgende Unterlagen sind unverzüglich zu vernichten:</w:t>
      </w:r>
    </w:p>
    <w:p w14:paraId="14F48F63" w14:textId="77777777" w:rsidR="0003154D" w:rsidRPr="0079232C" w:rsidRDefault="0003154D" w:rsidP="0003154D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Unterlagen von in Rente gegangenen Mitarbeitern</w:t>
      </w:r>
    </w:p>
    <w:p w14:paraId="052D7AA5" w14:textId="77777777" w:rsidR="0003154D" w:rsidRPr="0079232C" w:rsidRDefault="0003154D" w:rsidP="0003154D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Bewerbungsunterlagen</w:t>
      </w:r>
    </w:p>
    <w:p w14:paraId="3CC6CFD4" w14:textId="77777777" w:rsidR="0003154D" w:rsidRPr="0079232C" w:rsidRDefault="0003154D" w:rsidP="00006BFD">
      <w:pPr>
        <w:pStyle w:val="Listenabsatz"/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Beratungen zu Arbeitszeiterhöhungen</w:t>
      </w:r>
    </w:p>
    <w:p w14:paraId="321FC139" w14:textId="77777777" w:rsidR="0020710E" w:rsidRPr="0079232C" w:rsidRDefault="0020710E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07446CF2" w14:textId="77777777" w:rsidR="0003154D" w:rsidRPr="0079232C" w:rsidRDefault="0003154D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Besondere personenbezogene Daten (rassische und ethnische Herkunft, politische Meinung, religiöse und weltanschauliche Überzeugungen, Gewerkschafts</w:t>
      </w:r>
      <w:r w:rsidRPr="0079232C">
        <w:rPr>
          <w:rFonts w:asciiTheme="minorHAnsi" w:hAnsiTheme="minorHAnsi" w:cstheme="minorHAnsi"/>
          <w:color w:val="000000"/>
          <w:szCs w:val="24"/>
        </w:rPr>
        <w:softHyphen/>
        <w:t>zugehörig</w:t>
      </w:r>
      <w:r w:rsidRPr="0079232C">
        <w:rPr>
          <w:rFonts w:asciiTheme="minorHAnsi" w:hAnsiTheme="minorHAnsi" w:cstheme="minorHAnsi"/>
          <w:color w:val="000000"/>
          <w:szCs w:val="24"/>
        </w:rPr>
        <w:softHyphen/>
        <w:t xml:space="preserve">keit, Gesundheit oder Sexualleben) werden nur bei einem entsprechenden Anlass und mit Genehmigung des Betroffenen gespeichert </w:t>
      </w:r>
    </w:p>
    <w:p w14:paraId="67142D18" w14:textId="77777777" w:rsidR="0003154D" w:rsidRPr="0079232C" w:rsidRDefault="0003154D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0C12DFDE" w14:textId="77777777" w:rsidR="00441485" w:rsidRPr="0079232C" w:rsidRDefault="0020710E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Zu vernichtende Akten und Vorgänge sind einer physikalischen Vernichtung zuzuführen, bei der gewährleistet ist, dass unbefugte Dritte keine Einsicht nehmen können. Geeignete Papier-</w:t>
      </w:r>
      <w:r w:rsidR="00F44E7C" w:rsidRPr="0079232C">
        <w:rPr>
          <w:rFonts w:asciiTheme="minorHAnsi" w:hAnsiTheme="minorHAnsi" w:cstheme="minorHAnsi"/>
          <w:color w:val="000000"/>
          <w:szCs w:val="24"/>
        </w:rPr>
        <w:t xml:space="preserve">Schredder </w:t>
      </w:r>
      <w:r w:rsidRPr="0079232C">
        <w:rPr>
          <w:rFonts w:asciiTheme="minorHAnsi" w:hAnsiTheme="minorHAnsi" w:cstheme="minorHAnsi"/>
          <w:color w:val="000000"/>
          <w:szCs w:val="24"/>
        </w:rPr>
        <w:t>sind in jedem Büro vorzuhalten</w:t>
      </w:r>
      <w:r w:rsidR="00441485" w:rsidRPr="0079232C">
        <w:rPr>
          <w:rFonts w:asciiTheme="minorHAnsi" w:hAnsiTheme="minorHAnsi" w:cstheme="minorHAnsi"/>
          <w:color w:val="000000"/>
          <w:szCs w:val="24"/>
        </w:rPr>
        <w:t>.</w:t>
      </w:r>
    </w:p>
    <w:p w14:paraId="4B22FB93" w14:textId="77777777" w:rsidR="00006BFD" w:rsidRPr="0079232C" w:rsidRDefault="00006BFD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181A0B86" w14:textId="77777777" w:rsidR="0020710E" w:rsidRPr="0079232C" w:rsidRDefault="0020710E" w:rsidP="0003154D">
      <w:p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Wahlunterlagen sind gemäß Gesetz nach 5 Jahren zu vernichten.</w:t>
      </w:r>
    </w:p>
    <w:p w14:paraId="3A38D458" w14:textId="77777777" w:rsidR="00006BFD" w:rsidRPr="0079232C" w:rsidRDefault="00006BFD" w:rsidP="0003154D">
      <w:pPr>
        <w:spacing w:after="0"/>
        <w:rPr>
          <w:rFonts w:asciiTheme="minorHAnsi" w:hAnsiTheme="minorHAnsi" w:cstheme="minorHAnsi"/>
        </w:rPr>
      </w:pPr>
    </w:p>
    <w:p w14:paraId="31370471" w14:textId="77777777" w:rsidR="00505C66" w:rsidRPr="0079232C" w:rsidRDefault="00505C66" w:rsidP="00505C66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Datenspeicherung in einem ACCESS-Programm</w:t>
      </w:r>
    </w:p>
    <w:p w14:paraId="26B2400A" w14:textId="77777777" w:rsidR="00505C66" w:rsidRPr="0079232C" w:rsidRDefault="00505C66" w:rsidP="0003154D">
      <w:p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Folgende Daten werden in einem speziellen Access-Programm gespeichert:</w:t>
      </w:r>
    </w:p>
    <w:p w14:paraId="1F4F8312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Name</w:t>
      </w:r>
    </w:p>
    <w:p w14:paraId="48640F4C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Vorname</w:t>
      </w:r>
    </w:p>
    <w:p w14:paraId="41ABB492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Geburtsname</w:t>
      </w:r>
    </w:p>
    <w:p w14:paraId="733B1655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Straße</w:t>
      </w:r>
    </w:p>
    <w:p w14:paraId="3CD4BE27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PLZ</w:t>
      </w:r>
    </w:p>
    <w:p w14:paraId="488FC100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Ort</w:t>
      </w:r>
    </w:p>
    <w:p w14:paraId="4DEBE6E1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Berufsbezeichnung</w:t>
      </w:r>
    </w:p>
    <w:p w14:paraId="6E052352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Status</w:t>
      </w:r>
    </w:p>
    <w:p w14:paraId="5628FBF8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proofErr w:type="spellStart"/>
      <w:r w:rsidRPr="0079232C">
        <w:rPr>
          <w:rFonts w:asciiTheme="minorHAnsi" w:hAnsiTheme="minorHAnsi" w:cstheme="minorHAnsi"/>
        </w:rPr>
        <w:t>Personalst</w:t>
      </w:r>
      <w:proofErr w:type="spellEnd"/>
      <w:r w:rsidRPr="0079232C">
        <w:rPr>
          <w:rFonts w:asciiTheme="minorHAnsi" w:hAnsiTheme="minorHAnsi" w:cstheme="minorHAnsi"/>
        </w:rPr>
        <w:t>?</w:t>
      </w:r>
    </w:p>
    <w:p w14:paraId="7D574A9B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Einsatzort</w:t>
      </w:r>
    </w:p>
    <w:p w14:paraId="18D623A2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P-N?</w:t>
      </w:r>
    </w:p>
    <w:p w14:paraId="6A21B320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Eintritt</w:t>
      </w:r>
    </w:p>
    <w:p w14:paraId="29E1B216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Beschäftigungsumfang</w:t>
      </w:r>
    </w:p>
    <w:p w14:paraId="5279B934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proofErr w:type="spellStart"/>
      <w:r w:rsidRPr="0079232C">
        <w:rPr>
          <w:rFonts w:asciiTheme="minorHAnsi" w:hAnsiTheme="minorHAnsi" w:cstheme="minorHAnsi"/>
        </w:rPr>
        <w:t>unbefr</w:t>
      </w:r>
      <w:proofErr w:type="spellEnd"/>
      <w:r w:rsidRPr="0079232C">
        <w:rPr>
          <w:rFonts w:asciiTheme="minorHAnsi" w:hAnsiTheme="minorHAnsi" w:cstheme="minorHAnsi"/>
        </w:rPr>
        <w:t>. AZ</w:t>
      </w:r>
    </w:p>
    <w:p w14:paraId="22C2D71C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Tagewoche</w:t>
      </w:r>
    </w:p>
    <w:p w14:paraId="27C31122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Wochenstunden</w:t>
      </w:r>
    </w:p>
    <w:p w14:paraId="01751587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Monatsstunden</w:t>
      </w:r>
    </w:p>
    <w:p w14:paraId="03C79D29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Vergütungsgruppe</w:t>
      </w:r>
    </w:p>
    <w:p w14:paraId="1BE4DB74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EGPL</w:t>
      </w:r>
    </w:p>
    <w:p w14:paraId="35C3C0E6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von</w:t>
      </w:r>
    </w:p>
    <w:p w14:paraId="31CC043F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lastRenderedPageBreak/>
        <w:t>bis</w:t>
      </w:r>
    </w:p>
    <w:p w14:paraId="7ACBA805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MU/E</w:t>
      </w:r>
    </w:p>
    <w:p w14:paraId="71F9BE6D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ab</w:t>
      </w:r>
    </w:p>
    <w:p w14:paraId="150B4A1F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bis</w:t>
      </w:r>
    </w:p>
    <w:p w14:paraId="6D2737BD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Besonders</w:t>
      </w:r>
    </w:p>
    <w:p w14:paraId="14923B82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proofErr w:type="spellStart"/>
      <w:r w:rsidRPr="0079232C">
        <w:rPr>
          <w:rFonts w:asciiTheme="minorHAnsi" w:hAnsiTheme="minorHAnsi" w:cstheme="minorHAnsi"/>
        </w:rPr>
        <w:t>Kostenstelle_I</w:t>
      </w:r>
      <w:proofErr w:type="spellEnd"/>
    </w:p>
    <w:p w14:paraId="4901A8CB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proofErr w:type="spellStart"/>
      <w:r w:rsidRPr="0079232C">
        <w:rPr>
          <w:rFonts w:asciiTheme="minorHAnsi" w:hAnsiTheme="minorHAnsi" w:cstheme="minorHAnsi"/>
        </w:rPr>
        <w:t>Kostenstelle_II</w:t>
      </w:r>
      <w:proofErr w:type="spellEnd"/>
    </w:p>
    <w:p w14:paraId="5FB540EC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FB</w:t>
      </w:r>
    </w:p>
    <w:p w14:paraId="47887B05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EG_NEU</w:t>
      </w:r>
    </w:p>
    <w:p w14:paraId="59E44E20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Befristung</w:t>
      </w:r>
    </w:p>
    <w:p w14:paraId="2695FD44" w14:textId="77777777" w:rsidR="00505C66" w:rsidRPr="0079232C" w:rsidRDefault="00505C66" w:rsidP="00505C66">
      <w:pPr>
        <w:pStyle w:val="Listenabsatz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79232C">
        <w:rPr>
          <w:rFonts w:asciiTheme="minorHAnsi" w:hAnsiTheme="minorHAnsi" w:cstheme="minorHAnsi"/>
        </w:rPr>
        <w:t>Prozent</w:t>
      </w:r>
    </w:p>
    <w:p w14:paraId="6321D2CC" w14:textId="77777777" w:rsidR="00505C66" w:rsidRPr="0079232C" w:rsidRDefault="00505C66" w:rsidP="00505C66">
      <w:pPr>
        <w:pStyle w:val="Listenabsatz"/>
        <w:spacing w:after="0"/>
        <w:rPr>
          <w:rFonts w:asciiTheme="minorHAnsi" w:hAnsiTheme="minorHAnsi" w:cstheme="minorHAnsi"/>
        </w:rPr>
      </w:pPr>
    </w:p>
    <w:p w14:paraId="23A0C5AF" w14:textId="77777777" w:rsidR="00505C66" w:rsidRPr="0079232C" w:rsidRDefault="00505C66" w:rsidP="0003154D">
      <w:pPr>
        <w:spacing w:after="0"/>
        <w:rPr>
          <w:rFonts w:asciiTheme="minorHAnsi" w:hAnsiTheme="minorHAnsi" w:cstheme="minorHAnsi"/>
        </w:rPr>
      </w:pPr>
    </w:p>
    <w:p w14:paraId="69CCA1CA" w14:textId="77777777" w:rsidR="00006BFD" w:rsidRPr="0079232C" w:rsidRDefault="00006BFD" w:rsidP="00006BF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Tür- und Fenstersicherung</w:t>
      </w:r>
    </w:p>
    <w:p w14:paraId="6A67ACB4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Nicht besetzte Büro- und Arbeitsräume sind abzuschließen.</w:t>
      </w:r>
    </w:p>
    <w:p w14:paraId="26596BEE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Schlüssel sind abzuziehen und sicher zu verwahren.</w:t>
      </w:r>
    </w:p>
    <w:p w14:paraId="4F8E4A93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Bei längerer Abwesenheit und Dienstende sind alle Fenster zu schließen.</w:t>
      </w:r>
    </w:p>
    <w:p w14:paraId="20CFBD53" w14:textId="77777777" w:rsidR="00B54C99" w:rsidRPr="0079232C" w:rsidRDefault="00B54C99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5C9EDD69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Reinigungspersonal</w:t>
      </w:r>
    </w:p>
    <w:p w14:paraId="55A0F131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 xml:space="preserve">Das Reinigungspersonal </w:t>
      </w:r>
      <w:r w:rsidR="001A3A8C" w:rsidRPr="0079232C">
        <w:rPr>
          <w:rFonts w:asciiTheme="minorHAnsi" w:hAnsiTheme="minorHAnsi" w:cstheme="minorHAnsi"/>
          <w:color w:val="000000"/>
          <w:szCs w:val="24"/>
        </w:rPr>
        <w:t xml:space="preserve">darf die Räume der MAV nur im Beisein von Mitgliedern der MAV bzw. einer Sekretärin betreten. Es darf 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keinen Einblick in Akten oder </w:t>
      </w:r>
      <w:r w:rsidR="001A3A8C" w:rsidRPr="0079232C">
        <w:rPr>
          <w:rFonts w:asciiTheme="minorHAnsi" w:hAnsiTheme="minorHAnsi" w:cstheme="minorHAnsi"/>
          <w:color w:val="000000"/>
          <w:szCs w:val="24"/>
        </w:rPr>
        <w:t>Vorgänge erhalten</w:t>
      </w:r>
    </w:p>
    <w:p w14:paraId="1A51BBCC" w14:textId="77777777" w:rsidR="001A3A8C" w:rsidRPr="0079232C" w:rsidRDefault="001A3A8C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C9E302A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Publikumsverkehr</w:t>
      </w:r>
    </w:p>
    <w:p w14:paraId="6BAA97CB" w14:textId="77777777" w:rsidR="001A3A8C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 xml:space="preserve">Es ist sicherzustellen, dass </w:t>
      </w:r>
      <w:r w:rsidR="001A3A8C" w:rsidRPr="0079232C">
        <w:rPr>
          <w:rFonts w:asciiTheme="minorHAnsi" w:hAnsiTheme="minorHAnsi" w:cstheme="minorHAnsi"/>
          <w:color w:val="000000"/>
          <w:szCs w:val="24"/>
        </w:rPr>
        <w:t xml:space="preserve">Mitarbeitende </w:t>
      </w:r>
      <w:r w:rsidRPr="0079232C">
        <w:rPr>
          <w:rFonts w:asciiTheme="minorHAnsi" w:hAnsiTheme="minorHAnsi" w:cstheme="minorHAnsi"/>
          <w:color w:val="000000"/>
          <w:szCs w:val="24"/>
        </w:rPr>
        <w:t>bei ihre</w:t>
      </w:r>
      <w:r w:rsidR="001A3A8C" w:rsidRPr="0079232C">
        <w:rPr>
          <w:rFonts w:asciiTheme="minorHAnsi" w:hAnsiTheme="minorHAnsi" w:cstheme="minorHAnsi"/>
          <w:color w:val="000000"/>
          <w:szCs w:val="24"/>
        </w:rPr>
        <w:t>m Besuch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 in der</w:t>
      </w:r>
      <w:r w:rsidR="001A3A8C" w:rsidRPr="0079232C">
        <w:rPr>
          <w:rFonts w:asciiTheme="minorHAnsi" w:hAnsiTheme="minorHAnsi" w:cstheme="minorHAnsi"/>
          <w:color w:val="000000"/>
          <w:szCs w:val="24"/>
        </w:rPr>
        <w:t xml:space="preserve"> MAV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 andere, als die ihre Angelegenheit betreffende</w:t>
      </w:r>
      <w:r w:rsidR="001A3A8C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>personenbezogene Daten, nicht zur Kenntnis nehmen können.</w:t>
      </w:r>
    </w:p>
    <w:p w14:paraId="0A8E2D1A" w14:textId="77777777" w:rsidR="0003154D" w:rsidRPr="0079232C" w:rsidRDefault="0003154D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0B64F6B8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Bildschirme sind so aufzustellen, dass sie für Dritte nicht einsehbar sind.</w:t>
      </w:r>
    </w:p>
    <w:p w14:paraId="3B59B421" w14:textId="77777777" w:rsidR="001A3A8C" w:rsidRPr="0079232C" w:rsidRDefault="001A3A8C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7B60342B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Hardware und Software</w:t>
      </w:r>
    </w:p>
    <w:p w14:paraId="34BE6230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Private Hard- und Software darf am Arbeitsplatz nicht eingesetzt werden</w:t>
      </w:r>
    </w:p>
    <w:p w14:paraId="06C99BFD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 xml:space="preserve">Die private Nutzung von dienstlicher Hard- und Software ist </w:t>
      </w:r>
      <w:r w:rsidR="00006BFD" w:rsidRPr="0079232C">
        <w:rPr>
          <w:rFonts w:asciiTheme="minorHAnsi" w:hAnsiTheme="minorHAnsi" w:cstheme="minorHAnsi"/>
          <w:color w:val="000000"/>
          <w:szCs w:val="24"/>
        </w:rPr>
        <w:t xml:space="preserve">grundsätzlich </w:t>
      </w:r>
      <w:r w:rsidRPr="0079232C">
        <w:rPr>
          <w:rFonts w:asciiTheme="minorHAnsi" w:hAnsiTheme="minorHAnsi" w:cstheme="minorHAnsi"/>
          <w:color w:val="000000"/>
          <w:szCs w:val="24"/>
        </w:rPr>
        <w:t>nicht zulässig.</w:t>
      </w:r>
      <w:r w:rsidR="00006BFD" w:rsidRPr="0079232C">
        <w:rPr>
          <w:rFonts w:asciiTheme="minorHAnsi" w:hAnsiTheme="minorHAnsi" w:cstheme="minorHAnsi"/>
          <w:color w:val="000000"/>
          <w:szCs w:val="24"/>
        </w:rPr>
        <w:t xml:space="preserve"> Ausnahmen sind in der DV Internet am Arbeitsplatz aufgeführt.</w:t>
      </w:r>
    </w:p>
    <w:p w14:paraId="7F71F67F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520A722D" w14:textId="77777777" w:rsidR="00006BFD" w:rsidRPr="0079232C" w:rsidRDefault="00006BFD" w:rsidP="00006BF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Datenspeicherung</w:t>
      </w:r>
    </w:p>
    <w:p w14:paraId="75CB14EA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Dienstliche Daten dürfen nicht auf privaten Rechnern und private Daten nicht auf</w:t>
      </w:r>
    </w:p>
    <w:p w14:paraId="0AEE5CC8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dienstlichen Rechnern gespeichert werden</w:t>
      </w:r>
    </w:p>
    <w:p w14:paraId="756A1D39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2F0193C" w14:textId="77777777" w:rsidR="00006BFD" w:rsidRPr="0079232C" w:rsidRDefault="00006BFD" w:rsidP="00006BF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Kennwörter</w:t>
      </w:r>
    </w:p>
    <w:p w14:paraId="5004BA49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Jedes MAV-Mitglied hat ein eigenes Benutzerprofil mit der Personalnummer als Benutzername. Für dieses Profil ist ein Passwort entsprechend den Richtlinien der Johannes-Diakonie zu verwenden.</w:t>
      </w:r>
    </w:p>
    <w:p w14:paraId="606B51CB" w14:textId="77777777" w:rsidR="00697224" w:rsidRPr="0079232C" w:rsidRDefault="00697224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102DD056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Arbeitsplatz-PC</w:t>
      </w:r>
    </w:p>
    <w:p w14:paraId="489E22D2" w14:textId="77777777" w:rsidR="00441485" w:rsidRPr="0079232C" w:rsidRDefault="00B10840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 xml:space="preserve">Beim 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 xml:space="preserve">kurzfristigen </w:t>
      </w:r>
      <w:r w:rsidRPr="0079232C">
        <w:rPr>
          <w:rFonts w:asciiTheme="minorHAnsi" w:hAnsiTheme="minorHAnsi" w:cstheme="minorHAnsi"/>
          <w:color w:val="000000"/>
          <w:szCs w:val="24"/>
        </w:rPr>
        <w:t>Verlassen des Arbeitsplatzes ist mit Windows + L der Bildschirmschoner zu aktivieren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>. Bei längerfristiger Abwesenheit muss sich der Benutzer abmelden bzw. den PC herunterfahren.</w:t>
      </w:r>
    </w:p>
    <w:p w14:paraId="75AAB93D" w14:textId="77777777" w:rsidR="00B10840" w:rsidRPr="0079232C" w:rsidRDefault="00B10840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1914908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Mobile PCs (Notebooks)</w:t>
      </w:r>
    </w:p>
    <w:p w14:paraId="2DAB72BA" w14:textId="6E690E5D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 xml:space="preserve">Die Festplatten 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>von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 Notebooks sind zu verschlüsseln.</w:t>
      </w:r>
    </w:p>
    <w:p w14:paraId="4F58EAA3" w14:textId="212E5BF0" w:rsidR="0079232C" w:rsidRPr="0079232C" w:rsidRDefault="0079232C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0A89CF2C" w14:textId="77777777" w:rsidR="0079232C" w:rsidRPr="0079232C" w:rsidRDefault="0079232C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255D139A" w14:textId="77777777" w:rsidR="00697224" w:rsidRPr="0079232C" w:rsidRDefault="00697224" w:rsidP="00697224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Datenträger</w:t>
      </w:r>
    </w:p>
    <w:p w14:paraId="7EC5C01A" w14:textId="77777777" w:rsidR="00697224" w:rsidRPr="0079232C" w:rsidRDefault="00697224" w:rsidP="006972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Auf externe Datenträger (USB-Sticks) dürfen nur verschlüsselte Daten gespeichert werden. Nicht mehr benötigte Datenträger sind physikalisch zu zerstören</w:t>
      </w:r>
    </w:p>
    <w:p w14:paraId="03679864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384DDA05" w14:textId="77777777" w:rsidR="00006BFD" w:rsidRPr="0079232C" w:rsidRDefault="00006BFD" w:rsidP="00006BF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Auskünfte, Datenübermittlung</w:t>
      </w:r>
    </w:p>
    <w:p w14:paraId="1DB1B34E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Bei einer Auskunftserteilung bzw. Datenübermittlung ist die Identität der bzw. des</w:t>
      </w:r>
    </w:p>
    <w:p w14:paraId="453887BC" w14:textId="77777777" w:rsidR="00006BFD" w:rsidRPr="0079232C" w:rsidRDefault="00006BFD" w:rsidP="00006B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Ersuchenden zu prüfen.</w:t>
      </w:r>
    </w:p>
    <w:p w14:paraId="24BC0D51" w14:textId="77777777" w:rsidR="00B10840" w:rsidRPr="0079232C" w:rsidRDefault="00B10840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5D57A3FB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Zentrale Drucker</w:t>
      </w:r>
    </w:p>
    <w:p w14:paraId="063ABFEF" w14:textId="77777777" w:rsidR="00B10840" w:rsidRPr="0079232C" w:rsidRDefault="00B10840" w:rsidP="00B108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Es ist darauf zu achten, dass nicht Ausdrucke auf Druckern außerhalb der MAV erfolgen.</w:t>
      </w:r>
    </w:p>
    <w:p w14:paraId="16E1EEF2" w14:textId="77777777" w:rsidR="00B10840" w:rsidRPr="0079232C" w:rsidRDefault="00B10840" w:rsidP="006972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74987973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E-Mail</w:t>
      </w:r>
    </w:p>
    <w:p w14:paraId="1878322E" w14:textId="77777777" w:rsidR="00A6456F" w:rsidRPr="0079232C" w:rsidRDefault="00441485" w:rsidP="00A645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E-Mail-Eingänge sind wie allgemeine Posteingänge zu behandeln.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="00A6456F" w:rsidRPr="0079232C">
        <w:rPr>
          <w:rFonts w:asciiTheme="minorHAnsi" w:hAnsiTheme="minorHAnsi" w:cstheme="minorHAnsi"/>
          <w:color w:val="000000"/>
          <w:szCs w:val="24"/>
        </w:rPr>
        <w:t xml:space="preserve">Alle E-Mails werden nach </w:t>
      </w:r>
      <w:r w:rsidR="00A6456F" w:rsidRPr="0079232C">
        <w:rPr>
          <w:rFonts w:asciiTheme="minorHAnsi" w:hAnsiTheme="minorHAnsi" w:cstheme="minorHAnsi"/>
          <w:color w:val="FF0000"/>
          <w:szCs w:val="24"/>
        </w:rPr>
        <w:t xml:space="preserve">spätestens einem Jahr </w:t>
      </w:r>
      <w:r w:rsidR="00A6456F" w:rsidRPr="0079232C">
        <w:rPr>
          <w:rFonts w:asciiTheme="minorHAnsi" w:hAnsiTheme="minorHAnsi" w:cstheme="minorHAnsi"/>
          <w:color w:val="000000"/>
          <w:szCs w:val="24"/>
        </w:rPr>
        <w:t>gelöscht</w:t>
      </w:r>
    </w:p>
    <w:p w14:paraId="5629DCDC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Attachments mit ausführbaren Programmen und Dateien (Dateiendungen: z. B.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EXE, COM, BAT und VBS) sind </w:t>
      </w:r>
      <w:r w:rsidR="00A6456F" w:rsidRPr="0079232C">
        <w:rPr>
          <w:rFonts w:asciiTheme="minorHAnsi" w:hAnsiTheme="minorHAnsi" w:cstheme="minorHAnsi"/>
          <w:color w:val="000000"/>
          <w:szCs w:val="24"/>
        </w:rPr>
        <w:t>s</w:t>
      </w:r>
      <w:r w:rsidRPr="0079232C">
        <w:rPr>
          <w:rFonts w:asciiTheme="minorHAnsi" w:hAnsiTheme="minorHAnsi" w:cstheme="minorHAnsi"/>
          <w:color w:val="000000"/>
          <w:szCs w:val="24"/>
        </w:rPr>
        <w:t>ofern diese E-Mails dienstlich nicht angefordert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="00A6456F" w:rsidRPr="0079232C">
        <w:rPr>
          <w:rFonts w:asciiTheme="minorHAnsi" w:hAnsiTheme="minorHAnsi" w:cstheme="minorHAnsi"/>
          <w:color w:val="000000"/>
          <w:szCs w:val="24"/>
        </w:rPr>
        <w:t xml:space="preserve">wurden, 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ohne weitere Überprüfung </w:t>
      </w:r>
      <w:r w:rsidR="00A6456F" w:rsidRPr="0079232C">
        <w:rPr>
          <w:rFonts w:asciiTheme="minorHAnsi" w:hAnsiTheme="minorHAnsi" w:cstheme="minorHAnsi"/>
          <w:color w:val="000000"/>
          <w:szCs w:val="24"/>
        </w:rPr>
        <w:t>zu löschen</w:t>
      </w:r>
      <w:r w:rsidRPr="0079232C">
        <w:rPr>
          <w:rFonts w:asciiTheme="minorHAnsi" w:hAnsiTheme="minorHAnsi" w:cstheme="minorHAnsi"/>
          <w:color w:val="000000"/>
          <w:szCs w:val="24"/>
        </w:rPr>
        <w:t>.</w:t>
      </w:r>
    </w:p>
    <w:p w14:paraId="1F0ACF12" w14:textId="77777777" w:rsidR="00A6456F" w:rsidRPr="0079232C" w:rsidRDefault="00A6456F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7CB6B5A2" w14:textId="77777777" w:rsidR="00441485" w:rsidRPr="0079232C" w:rsidRDefault="00B54C99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T</w:t>
      </w:r>
      <w:r w:rsidR="00441485" w:rsidRPr="0079232C">
        <w:rPr>
          <w:rFonts w:asciiTheme="minorHAnsi" w:hAnsiTheme="minorHAnsi" w:cstheme="minorHAnsi"/>
          <w:b/>
          <w:bCs/>
          <w:color w:val="000000"/>
          <w:szCs w:val="24"/>
        </w:rPr>
        <w:t>elefaxgeräte</w:t>
      </w:r>
    </w:p>
    <w:p w14:paraId="08630EBA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Telefaxgeräte sind so aufzustellen, dass Unbefugte keine Kenntnis von Inhalten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>eingehender und übertragener Telefaxe erhalten können.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>Alle geräteseitigen Sicherungsmaßnahmen (z. B. Anzeige der störungsfreien Übertragung</w:t>
      </w:r>
    </w:p>
    <w:p w14:paraId="5B38A73F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oder der gesicherten Zwischenspeicherung) sind zu nutzen.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Grundsätzlich sind Faxgeräte für den </w:t>
      </w:r>
      <w:proofErr w:type="spellStart"/>
      <w:r w:rsidRPr="0079232C">
        <w:rPr>
          <w:rFonts w:asciiTheme="minorHAnsi" w:hAnsiTheme="minorHAnsi" w:cstheme="minorHAnsi"/>
          <w:color w:val="000000"/>
          <w:szCs w:val="24"/>
        </w:rPr>
        <w:t>Direktsendebetrieb</w:t>
      </w:r>
      <w:proofErr w:type="spellEnd"/>
      <w:r w:rsidRPr="0079232C">
        <w:rPr>
          <w:rFonts w:asciiTheme="minorHAnsi" w:hAnsiTheme="minorHAnsi" w:cstheme="minorHAnsi"/>
          <w:color w:val="000000"/>
          <w:szCs w:val="24"/>
        </w:rPr>
        <w:t xml:space="preserve"> einzustellen. Sendeprotokolle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>sind dem Vorgang beizufügen.</w:t>
      </w:r>
    </w:p>
    <w:p w14:paraId="27750623" w14:textId="77777777" w:rsidR="00131C24" w:rsidRPr="0079232C" w:rsidRDefault="00131C24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4F7935EB" w14:textId="77777777" w:rsidR="00441485" w:rsidRPr="0079232C" w:rsidRDefault="00441485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Mobiltelefone (Handys)</w:t>
      </w:r>
    </w:p>
    <w:p w14:paraId="781663F7" w14:textId="77777777" w:rsidR="00441485" w:rsidRPr="0079232C" w:rsidRDefault="00441485" w:rsidP="004414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Die Sim-Karte</w:t>
      </w:r>
      <w:r w:rsidR="00006BFD" w:rsidRPr="0079232C">
        <w:rPr>
          <w:rFonts w:asciiTheme="minorHAnsi" w:hAnsiTheme="minorHAnsi" w:cstheme="minorHAnsi"/>
          <w:color w:val="000000"/>
          <w:szCs w:val="24"/>
        </w:rPr>
        <w:t xml:space="preserve"> des Diensthandys</w:t>
      </w:r>
      <w:r w:rsidRPr="0079232C">
        <w:rPr>
          <w:rFonts w:asciiTheme="minorHAnsi" w:hAnsiTheme="minorHAnsi" w:cstheme="minorHAnsi"/>
          <w:color w:val="000000"/>
          <w:szCs w:val="24"/>
        </w:rPr>
        <w:t xml:space="preserve"> ist mit einer Geheimnummer (PIN) zu versehen.</w:t>
      </w:r>
    </w:p>
    <w:p w14:paraId="0E05F4A4" w14:textId="5596961D" w:rsidR="00271B8B" w:rsidRPr="0079232C" w:rsidRDefault="00441485" w:rsidP="006972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Der Verlust von Telefon, SIM-Karte oder PIN ist sofort de</w:t>
      </w:r>
      <w:r w:rsidR="003A45C7" w:rsidRPr="0079232C">
        <w:rPr>
          <w:rFonts w:asciiTheme="minorHAnsi" w:hAnsiTheme="minorHAnsi" w:cstheme="minorHAnsi"/>
          <w:color w:val="000000"/>
          <w:szCs w:val="24"/>
        </w:rPr>
        <w:t xml:space="preserve">r </w:t>
      </w:r>
      <w:r w:rsidR="003A45C7" w:rsidRPr="0079232C">
        <w:rPr>
          <w:rFonts w:asciiTheme="minorHAnsi" w:hAnsiTheme="minorHAnsi" w:cstheme="minorHAnsi"/>
          <w:i/>
          <w:iCs/>
          <w:color w:val="000000"/>
          <w:szCs w:val="24"/>
        </w:rPr>
        <w:t xml:space="preserve">Abteilung </w:t>
      </w:r>
      <w:r w:rsidR="0079232C" w:rsidRPr="0079232C">
        <w:rPr>
          <w:rFonts w:asciiTheme="minorHAnsi" w:hAnsiTheme="minorHAnsi" w:cstheme="minorHAnsi"/>
          <w:i/>
          <w:iCs/>
          <w:color w:val="000000"/>
          <w:szCs w:val="24"/>
        </w:rPr>
        <w:t>XY</w:t>
      </w:r>
      <w:r w:rsidR="003A45C7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9232C">
        <w:rPr>
          <w:rFonts w:asciiTheme="minorHAnsi" w:hAnsiTheme="minorHAnsi" w:cstheme="minorHAnsi"/>
          <w:color w:val="000000"/>
          <w:szCs w:val="24"/>
        </w:rPr>
        <w:t>zu melden.</w:t>
      </w:r>
      <w:r w:rsidR="00006BFD" w:rsidRPr="0079232C">
        <w:rPr>
          <w:rFonts w:asciiTheme="minorHAnsi" w:hAnsiTheme="minorHAnsi" w:cstheme="minorHAnsi"/>
          <w:color w:val="000000"/>
          <w:szCs w:val="24"/>
        </w:rPr>
        <w:t xml:space="preserve"> </w:t>
      </w:r>
      <w:r w:rsidR="00006BFD" w:rsidRPr="0079232C">
        <w:rPr>
          <w:rFonts w:asciiTheme="minorHAnsi" w:hAnsiTheme="minorHAnsi" w:cstheme="minorHAnsi"/>
        </w:rPr>
        <w:t>Apps, die nicht den europäischen Datenschutzrichtlinien entsprechen, sind auf Diensthandys nicht erlaubt.</w:t>
      </w:r>
    </w:p>
    <w:p w14:paraId="1586FF70" w14:textId="77777777" w:rsidR="00460628" w:rsidRPr="0079232C" w:rsidRDefault="00460628" w:rsidP="00441485">
      <w:pPr>
        <w:rPr>
          <w:rFonts w:asciiTheme="minorHAnsi" w:hAnsiTheme="minorHAnsi" w:cstheme="minorHAnsi"/>
          <w:color w:val="000000"/>
          <w:szCs w:val="24"/>
        </w:rPr>
      </w:pPr>
    </w:p>
    <w:p w14:paraId="77022694" w14:textId="77777777" w:rsidR="008D34C4" w:rsidRPr="0079232C" w:rsidRDefault="008D34C4" w:rsidP="00B54C9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zCs w:val="24"/>
        </w:rPr>
      </w:pPr>
      <w:r w:rsidRPr="0079232C">
        <w:rPr>
          <w:rFonts w:asciiTheme="minorHAnsi" w:hAnsiTheme="minorHAnsi" w:cstheme="minorHAnsi"/>
          <w:b/>
          <w:bCs/>
          <w:color w:val="000000"/>
          <w:szCs w:val="24"/>
        </w:rPr>
        <w:t>Inkrafttreten</w:t>
      </w:r>
    </w:p>
    <w:p w14:paraId="288EF321" w14:textId="77777777" w:rsidR="008D34C4" w:rsidRPr="0079232C" w:rsidRDefault="008D34C4" w:rsidP="008D34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Das Datenschutzkonzept tritt am  in Kraft.</w:t>
      </w:r>
    </w:p>
    <w:p w14:paraId="0F11FA1B" w14:textId="14E7744A" w:rsidR="008D34C4" w:rsidRPr="0079232C" w:rsidRDefault="0079232C" w:rsidP="008D34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9232C">
        <w:rPr>
          <w:rFonts w:asciiTheme="minorHAnsi" w:hAnsiTheme="minorHAnsi" w:cstheme="minorHAnsi"/>
          <w:color w:val="000000"/>
          <w:szCs w:val="24"/>
        </w:rPr>
        <w:t>Musterhausen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t xml:space="preserve">, den </w:t>
      </w:r>
      <w:r w:rsidR="00697224" w:rsidRPr="0079232C">
        <w:rPr>
          <w:rFonts w:asciiTheme="minorHAnsi" w:hAnsiTheme="minorHAnsi" w:cstheme="minorHAnsi"/>
          <w:color w:val="000000"/>
          <w:szCs w:val="24"/>
        </w:rPr>
        <w:t>xx.xx.</w:t>
      </w:r>
      <w:r w:rsidR="008D34C4" w:rsidRPr="0079232C">
        <w:rPr>
          <w:rFonts w:asciiTheme="minorHAnsi" w:hAnsiTheme="minorHAnsi" w:cstheme="minorHAnsi"/>
          <w:color w:val="000000"/>
          <w:szCs w:val="24"/>
        </w:rPr>
        <w:t>2019</w:t>
      </w:r>
    </w:p>
    <w:sectPr w:rsidR="008D34C4" w:rsidRPr="007923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382"/>
    <w:multiLevelType w:val="multilevel"/>
    <w:tmpl w:val="EA14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E1BED"/>
    <w:multiLevelType w:val="hybridMultilevel"/>
    <w:tmpl w:val="12221382"/>
    <w:lvl w:ilvl="0" w:tplc="DCF8C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B469E"/>
    <w:multiLevelType w:val="hybridMultilevel"/>
    <w:tmpl w:val="E06E72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677A4"/>
    <w:multiLevelType w:val="hybridMultilevel"/>
    <w:tmpl w:val="AF9C79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16259"/>
    <w:multiLevelType w:val="multilevel"/>
    <w:tmpl w:val="607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D3460"/>
    <w:multiLevelType w:val="multilevel"/>
    <w:tmpl w:val="EED4C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F1BF5"/>
    <w:multiLevelType w:val="hybridMultilevel"/>
    <w:tmpl w:val="58541C8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85"/>
    <w:rsid w:val="00006BFD"/>
    <w:rsid w:val="0003154D"/>
    <w:rsid w:val="00131C24"/>
    <w:rsid w:val="00137242"/>
    <w:rsid w:val="001A3A8C"/>
    <w:rsid w:val="0020710E"/>
    <w:rsid w:val="002678EB"/>
    <w:rsid w:val="00271B8B"/>
    <w:rsid w:val="002B65A3"/>
    <w:rsid w:val="00301309"/>
    <w:rsid w:val="003A45C7"/>
    <w:rsid w:val="003D1A4E"/>
    <w:rsid w:val="0040695B"/>
    <w:rsid w:val="00441485"/>
    <w:rsid w:val="00460628"/>
    <w:rsid w:val="00505C66"/>
    <w:rsid w:val="0051544E"/>
    <w:rsid w:val="0057237C"/>
    <w:rsid w:val="00595959"/>
    <w:rsid w:val="00697224"/>
    <w:rsid w:val="0071669A"/>
    <w:rsid w:val="007707E7"/>
    <w:rsid w:val="0079232C"/>
    <w:rsid w:val="008D34C4"/>
    <w:rsid w:val="00A6456F"/>
    <w:rsid w:val="00B10840"/>
    <w:rsid w:val="00B54C99"/>
    <w:rsid w:val="00EE20B5"/>
    <w:rsid w:val="00F4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5969"/>
  <w15:docId w15:val="{A74B17CC-53F9-4A70-B8C1-9DBA5D7C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5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5726</Characters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2019-07-25T08:26:00Z</dcterms:created>
  <dcterms:modified xsi:type="dcterms:W3CDTF">2019-07-25T12:07:00Z</dcterms:modified>
</cp:coreProperties>
</file>